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2" w:rsidRPr="00284686" w:rsidRDefault="00D03C03" w:rsidP="0028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84686" w:rsidRPr="00284686">
        <w:rPr>
          <w:rFonts w:ascii="Times New Roman" w:hAnsi="Times New Roman" w:cs="Times New Roman"/>
          <w:b/>
          <w:sz w:val="24"/>
          <w:szCs w:val="24"/>
        </w:rPr>
        <w:t>IX</w:t>
      </w:r>
      <w:r w:rsidRPr="00284686">
        <w:rPr>
          <w:rFonts w:ascii="Times New Roman" w:hAnsi="Times New Roman" w:cs="Times New Roman"/>
          <w:b/>
          <w:sz w:val="24"/>
          <w:szCs w:val="24"/>
        </w:rPr>
        <w:t>/</w:t>
      </w:r>
      <w:r w:rsidR="00284686" w:rsidRPr="00284686">
        <w:rPr>
          <w:rFonts w:ascii="Times New Roman" w:hAnsi="Times New Roman" w:cs="Times New Roman"/>
          <w:b/>
          <w:sz w:val="24"/>
          <w:szCs w:val="24"/>
        </w:rPr>
        <w:t>5</w:t>
      </w:r>
      <w:r w:rsidR="0074753D">
        <w:rPr>
          <w:rFonts w:ascii="Times New Roman" w:hAnsi="Times New Roman" w:cs="Times New Roman"/>
          <w:b/>
          <w:sz w:val="24"/>
          <w:szCs w:val="24"/>
        </w:rPr>
        <w:t>0</w:t>
      </w:r>
      <w:r w:rsidRPr="00284686">
        <w:rPr>
          <w:rFonts w:ascii="Times New Roman" w:hAnsi="Times New Roman" w:cs="Times New Roman"/>
          <w:b/>
          <w:sz w:val="24"/>
          <w:szCs w:val="24"/>
        </w:rPr>
        <w:t>/2015</w:t>
      </w:r>
    </w:p>
    <w:p w:rsidR="00D03C03" w:rsidRPr="00284686" w:rsidRDefault="00D03C03" w:rsidP="0028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Rady Gminy Białogard</w:t>
      </w:r>
    </w:p>
    <w:p w:rsidR="00D03C03" w:rsidRDefault="00D03C03" w:rsidP="0028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4686" w:rsidRPr="00284686">
        <w:rPr>
          <w:rFonts w:ascii="Times New Roman" w:hAnsi="Times New Roman" w:cs="Times New Roman"/>
          <w:b/>
          <w:sz w:val="24"/>
          <w:szCs w:val="24"/>
        </w:rPr>
        <w:t>29 maja</w:t>
      </w:r>
      <w:r w:rsidRPr="00284686">
        <w:rPr>
          <w:rFonts w:ascii="Times New Roman" w:hAnsi="Times New Roman" w:cs="Times New Roman"/>
          <w:b/>
          <w:sz w:val="24"/>
          <w:szCs w:val="24"/>
        </w:rPr>
        <w:t xml:space="preserve"> 2015 r.</w:t>
      </w:r>
    </w:p>
    <w:p w:rsidR="00284686" w:rsidRPr="00284686" w:rsidRDefault="00284686" w:rsidP="0028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03" w:rsidRPr="00284686" w:rsidRDefault="00D03C03" w:rsidP="00D03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 za korzystanie z </w:t>
      </w:r>
      <w:r w:rsidR="004445D9" w:rsidRPr="00284686">
        <w:rPr>
          <w:rFonts w:ascii="Times New Roman" w:hAnsi="Times New Roman" w:cs="Times New Roman"/>
          <w:b/>
          <w:sz w:val="24"/>
          <w:szCs w:val="24"/>
        </w:rPr>
        <w:t>c</w:t>
      </w:r>
      <w:r w:rsidRPr="00284686">
        <w:rPr>
          <w:rFonts w:ascii="Times New Roman" w:hAnsi="Times New Roman" w:cs="Times New Roman"/>
          <w:b/>
          <w:sz w:val="24"/>
          <w:szCs w:val="24"/>
        </w:rPr>
        <w:t xml:space="preserve">mentarzy </w:t>
      </w:r>
      <w:r w:rsidR="004445D9" w:rsidRPr="00284686">
        <w:rPr>
          <w:rFonts w:ascii="Times New Roman" w:hAnsi="Times New Roman" w:cs="Times New Roman"/>
          <w:b/>
          <w:sz w:val="24"/>
          <w:szCs w:val="24"/>
        </w:rPr>
        <w:t>k</w:t>
      </w:r>
      <w:r w:rsidRPr="00284686">
        <w:rPr>
          <w:rFonts w:ascii="Times New Roman" w:hAnsi="Times New Roman" w:cs="Times New Roman"/>
          <w:b/>
          <w:sz w:val="24"/>
          <w:szCs w:val="24"/>
        </w:rPr>
        <w:t xml:space="preserve">omunalnych w miejscowościach Białogórzyno, Byszyno, Podwilcze. </w:t>
      </w:r>
    </w:p>
    <w:p w:rsidR="00D03C03" w:rsidRPr="00284686" w:rsidRDefault="00D03C03" w:rsidP="00D03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DA4" w:rsidRPr="00284686" w:rsidRDefault="001F1DA4" w:rsidP="009A7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   Na podstawie art. 18 ust.2 pkt.15 w związku art. 7 ust.1 pkt.13 i art.40 ust. 2 pkt.4  ustawy z dnia 8 marca 1990 roku o samorządzie gminnym ( Dz. U. z 2013 r.</w:t>
      </w:r>
      <w:r w:rsidR="009A79FF" w:rsidRPr="00284686">
        <w:rPr>
          <w:rFonts w:ascii="Times New Roman" w:hAnsi="Times New Roman" w:cs="Times New Roman"/>
          <w:sz w:val="24"/>
          <w:szCs w:val="24"/>
        </w:rPr>
        <w:t>,</w:t>
      </w:r>
      <w:r w:rsidRPr="00284686">
        <w:rPr>
          <w:rFonts w:ascii="Times New Roman" w:hAnsi="Times New Roman" w:cs="Times New Roman"/>
          <w:sz w:val="24"/>
          <w:szCs w:val="24"/>
        </w:rPr>
        <w:t xml:space="preserve"> poz. 594 ze zm.), art. 4 ust.1 pkt. 2 ustawy z dnia 20 grudnia 1996 roku </w:t>
      </w:r>
      <w:r w:rsid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o gospodarce komunalnej (tj.: Dz.</w:t>
      </w:r>
      <w:r w:rsidR="009A79FF"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U. z 2011r.</w:t>
      </w:r>
      <w:r w:rsidR="009A79FF" w:rsidRPr="00284686">
        <w:rPr>
          <w:rFonts w:ascii="Times New Roman" w:hAnsi="Times New Roman" w:cs="Times New Roman"/>
          <w:sz w:val="24"/>
          <w:szCs w:val="24"/>
        </w:rPr>
        <w:t>,</w:t>
      </w:r>
      <w:r w:rsidRPr="00284686">
        <w:rPr>
          <w:rFonts w:ascii="Times New Roman" w:hAnsi="Times New Roman" w:cs="Times New Roman"/>
          <w:sz w:val="24"/>
          <w:szCs w:val="24"/>
        </w:rPr>
        <w:t xml:space="preserve"> Nr </w:t>
      </w:r>
      <w:r w:rsidR="009A79FF" w:rsidRPr="00284686">
        <w:rPr>
          <w:rFonts w:ascii="Times New Roman" w:hAnsi="Times New Roman" w:cs="Times New Roman"/>
          <w:sz w:val="24"/>
          <w:szCs w:val="24"/>
        </w:rPr>
        <w:t>45</w:t>
      </w:r>
      <w:r w:rsidRPr="00284686">
        <w:rPr>
          <w:rFonts w:ascii="Times New Roman" w:hAnsi="Times New Roman" w:cs="Times New Roman"/>
          <w:sz w:val="24"/>
          <w:szCs w:val="24"/>
        </w:rPr>
        <w:t xml:space="preserve">, poz. </w:t>
      </w:r>
      <w:r w:rsidR="009A79FF" w:rsidRPr="00284686">
        <w:rPr>
          <w:rFonts w:ascii="Times New Roman" w:hAnsi="Times New Roman" w:cs="Times New Roman"/>
          <w:sz w:val="24"/>
          <w:szCs w:val="24"/>
        </w:rPr>
        <w:t>236</w:t>
      </w:r>
      <w:r w:rsidRPr="00284686">
        <w:rPr>
          <w:rFonts w:ascii="Times New Roman" w:hAnsi="Times New Roman" w:cs="Times New Roman"/>
          <w:sz w:val="24"/>
          <w:szCs w:val="24"/>
        </w:rPr>
        <w:t>)</w:t>
      </w:r>
      <w:r w:rsidR="009A79FF" w:rsidRPr="00284686">
        <w:rPr>
          <w:rFonts w:ascii="Times New Roman" w:hAnsi="Times New Roman" w:cs="Times New Roman"/>
          <w:sz w:val="24"/>
          <w:szCs w:val="24"/>
        </w:rPr>
        <w:t xml:space="preserve"> Rada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9A79FF" w:rsidRPr="00284686">
        <w:rPr>
          <w:rFonts w:ascii="Times New Roman" w:hAnsi="Times New Roman" w:cs="Times New Roman"/>
          <w:sz w:val="24"/>
          <w:szCs w:val="24"/>
        </w:rPr>
        <w:t>Gminy Białogard uchwala, co następuje:</w:t>
      </w:r>
    </w:p>
    <w:p w:rsidR="009A79FF" w:rsidRPr="00284686" w:rsidRDefault="009A79FF" w:rsidP="009A7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03" w:rsidRPr="00284686" w:rsidRDefault="009A79FF" w:rsidP="009A7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31" w:rsidRPr="00284686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0C4431" w:rsidRPr="00284686">
        <w:rPr>
          <w:rFonts w:ascii="Times New Roman" w:hAnsi="Times New Roman" w:cs="Times New Roman"/>
          <w:sz w:val="24"/>
          <w:szCs w:val="24"/>
        </w:rPr>
        <w:t xml:space="preserve">Ustala się wysokość opłat za korzystanie z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="000C4431" w:rsidRPr="00284686">
        <w:rPr>
          <w:rFonts w:ascii="Times New Roman" w:hAnsi="Times New Roman" w:cs="Times New Roman"/>
          <w:sz w:val="24"/>
          <w:szCs w:val="24"/>
        </w:rPr>
        <w:t xml:space="preserve">mentarzy </w:t>
      </w:r>
      <w:r w:rsidR="00393990" w:rsidRPr="00284686">
        <w:rPr>
          <w:rFonts w:ascii="Times New Roman" w:hAnsi="Times New Roman" w:cs="Times New Roman"/>
          <w:sz w:val="24"/>
          <w:szCs w:val="24"/>
        </w:rPr>
        <w:t>k</w:t>
      </w:r>
      <w:r w:rsidR="000C4431" w:rsidRPr="00284686">
        <w:rPr>
          <w:rFonts w:ascii="Times New Roman" w:hAnsi="Times New Roman" w:cs="Times New Roman"/>
          <w:sz w:val="24"/>
          <w:szCs w:val="24"/>
        </w:rPr>
        <w:t>omunalnych położonych na terenie Gminy Białogard w miejscowościach Białogórzyno</w:t>
      </w:r>
      <w:r w:rsidR="00284686">
        <w:rPr>
          <w:rFonts w:ascii="Times New Roman" w:hAnsi="Times New Roman" w:cs="Times New Roman"/>
          <w:sz w:val="24"/>
          <w:szCs w:val="24"/>
        </w:rPr>
        <w:t xml:space="preserve">, Byszyno, Podwilcze </w:t>
      </w:r>
      <w:r w:rsidR="000C4431" w:rsidRPr="00284686">
        <w:rPr>
          <w:rFonts w:ascii="Times New Roman" w:hAnsi="Times New Roman" w:cs="Times New Roman"/>
          <w:sz w:val="24"/>
          <w:szCs w:val="24"/>
        </w:rPr>
        <w:t xml:space="preserve">w wysokości określonej w załączniku do niniejszej uchwały. </w:t>
      </w:r>
    </w:p>
    <w:p w:rsidR="008B2729" w:rsidRPr="00284686" w:rsidRDefault="008B2729" w:rsidP="009A7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31" w:rsidRPr="00284686" w:rsidRDefault="000C4431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§2. 1.</w:t>
      </w:r>
      <w:r w:rsidRPr="00284686">
        <w:rPr>
          <w:rFonts w:ascii="Times New Roman" w:hAnsi="Times New Roman" w:cs="Times New Roman"/>
          <w:sz w:val="24"/>
          <w:szCs w:val="24"/>
        </w:rPr>
        <w:t xml:space="preserve"> Na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Pr="00284686">
        <w:rPr>
          <w:rFonts w:ascii="Times New Roman" w:hAnsi="Times New Roman" w:cs="Times New Roman"/>
          <w:sz w:val="24"/>
          <w:szCs w:val="24"/>
        </w:rPr>
        <w:t xml:space="preserve">mentarzach </w:t>
      </w:r>
      <w:r w:rsidR="00393990" w:rsidRPr="00284686">
        <w:rPr>
          <w:rFonts w:ascii="Times New Roman" w:hAnsi="Times New Roman" w:cs="Times New Roman"/>
          <w:sz w:val="24"/>
          <w:szCs w:val="24"/>
        </w:rPr>
        <w:t>k</w:t>
      </w:r>
      <w:r w:rsidRPr="00284686">
        <w:rPr>
          <w:rFonts w:ascii="Times New Roman" w:hAnsi="Times New Roman" w:cs="Times New Roman"/>
          <w:sz w:val="24"/>
          <w:szCs w:val="24"/>
        </w:rPr>
        <w:t>omunalnych pobiera się następujące opłaty:</w:t>
      </w:r>
    </w:p>
    <w:p w:rsidR="00A40A87" w:rsidRPr="00284686" w:rsidRDefault="00A40A87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1) za udostępnienie miejsca grzebalnego pod grób ziemny;</w:t>
      </w:r>
    </w:p>
    <w:p w:rsidR="00A40A87" w:rsidRPr="00284686" w:rsidRDefault="00A40A87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2) za udostępnienie miejsca grzebalnego pod grób murowany;</w:t>
      </w:r>
    </w:p>
    <w:p w:rsidR="00A40A87" w:rsidRPr="00284686" w:rsidRDefault="00A40A87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3) za miejsce rezerwowane pod grób ziemny lub grób murowany </w:t>
      </w:r>
      <w:r w:rsidR="00F317A5" w:rsidRPr="00284686">
        <w:rPr>
          <w:rFonts w:ascii="Times New Roman" w:hAnsi="Times New Roman" w:cs="Times New Roman"/>
          <w:sz w:val="24"/>
          <w:szCs w:val="24"/>
        </w:rPr>
        <w:t>;</w:t>
      </w:r>
    </w:p>
    <w:p w:rsidR="00A40A87" w:rsidRPr="00284686" w:rsidRDefault="00B64DEC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4) za przedłużenie okresu użytkowania grobu ziemnego na następne 20 lat;</w:t>
      </w:r>
    </w:p>
    <w:p w:rsidR="00B64DEC" w:rsidRPr="00284686" w:rsidRDefault="00B64DEC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5) opłata uzupełniająca za dochowanie do grobu murowanego ;</w:t>
      </w:r>
    </w:p>
    <w:p w:rsidR="0074753D" w:rsidRDefault="00B64DEC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6) </w:t>
      </w:r>
      <w:r w:rsidR="00707F67" w:rsidRPr="00284686">
        <w:rPr>
          <w:rFonts w:ascii="Times New Roman" w:hAnsi="Times New Roman" w:cs="Times New Roman"/>
          <w:sz w:val="24"/>
          <w:szCs w:val="24"/>
        </w:rPr>
        <w:t>opłata uzupełniająca za dochowanie do istniejącego grobu ziemnego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="00707F67" w:rsidRPr="00284686">
        <w:rPr>
          <w:rFonts w:ascii="Times New Roman" w:hAnsi="Times New Roman" w:cs="Times New Roman"/>
          <w:sz w:val="24"/>
          <w:szCs w:val="24"/>
        </w:rPr>
        <w:t xml:space="preserve">następnego </w:t>
      </w:r>
    </w:p>
    <w:p w:rsidR="00B64DEC" w:rsidRPr="00284686" w:rsidRDefault="0074753D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7F67" w:rsidRPr="00284686">
        <w:rPr>
          <w:rFonts w:ascii="Times New Roman" w:hAnsi="Times New Roman" w:cs="Times New Roman"/>
          <w:sz w:val="24"/>
          <w:szCs w:val="24"/>
        </w:rPr>
        <w:t>zmarłego;</w:t>
      </w:r>
      <w:r w:rsidR="00B64DEC" w:rsidRPr="0028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29" w:rsidRDefault="00707F67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 7) opłata za wjazd na cmentarz;</w:t>
      </w:r>
    </w:p>
    <w:p w:rsidR="00284686" w:rsidRPr="00284686" w:rsidRDefault="00284686" w:rsidP="0074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D25" w:rsidRDefault="00707F67" w:rsidP="0063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</w:t>
      </w:r>
      <w:r w:rsidRPr="00284686">
        <w:rPr>
          <w:rFonts w:ascii="Times New Roman" w:hAnsi="Times New Roman" w:cs="Times New Roman"/>
          <w:b/>
          <w:sz w:val="24"/>
          <w:szCs w:val="24"/>
        </w:rPr>
        <w:t>2.</w:t>
      </w:r>
      <w:r w:rsidRPr="00284686">
        <w:rPr>
          <w:rFonts w:ascii="Times New Roman" w:hAnsi="Times New Roman" w:cs="Times New Roman"/>
          <w:sz w:val="24"/>
          <w:szCs w:val="24"/>
        </w:rPr>
        <w:t xml:space="preserve"> Opłaty za korzystanie z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Pr="00284686">
        <w:rPr>
          <w:rFonts w:ascii="Times New Roman" w:hAnsi="Times New Roman" w:cs="Times New Roman"/>
          <w:sz w:val="24"/>
          <w:szCs w:val="24"/>
        </w:rPr>
        <w:t>ment</w:t>
      </w:r>
      <w:r w:rsidR="00B47A1C" w:rsidRPr="00284686">
        <w:rPr>
          <w:rFonts w:ascii="Times New Roman" w:hAnsi="Times New Roman" w:cs="Times New Roman"/>
          <w:sz w:val="24"/>
          <w:szCs w:val="24"/>
        </w:rPr>
        <w:t xml:space="preserve">arzy </w:t>
      </w:r>
      <w:r w:rsidR="00393990" w:rsidRPr="00284686">
        <w:rPr>
          <w:rFonts w:ascii="Times New Roman" w:hAnsi="Times New Roman" w:cs="Times New Roman"/>
          <w:sz w:val="24"/>
          <w:szCs w:val="24"/>
        </w:rPr>
        <w:t>k</w:t>
      </w:r>
      <w:r w:rsidR="00B47A1C" w:rsidRPr="00284686">
        <w:rPr>
          <w:rFonts w:ascii="Times New Roman" w:hAnsi="Times New Roman" w:cs="Times New Roman"/>
          <w:sz w:val="24"/>
          <w:szCs w:val="24"/>
        </w:rPr>
        <w:t xml:space="preserve">omunalnych będą wywieszone w </w:t>
      </w:r>
      <w:r w:rsidRPr="00284686">
        <w:rPr>
          <w:rFonts w:ascii="Times New Roman" w:hAnsi="Times New Roman" w:cs="Times New Roman"/>
          <w:sz w:val="24"/>
          <w:szCs w:val="24"/>
        </w:rPr>
        <w:t xml:space="preserve">gablotach na terenie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Pr="00284686">
        <w:rPr>
          <w:rFonts w:ascii="Times New Roman" w:hAnsi="Times New Roman" w:cs="Times New Roman"/>
          <w:sz w:val="24"/>
          <w:szCs w:val="24"/>
        </w:rPr>
        <w:t xml:space="preserve">mentarzy dostępne w Urzędzie Gminy Białogard Referat Gospodarki Komunalnej i Ochrony Środowiska oraz na stronach BIP </w:t>
      </w:r>
      <w:r w:rsidR="009C185A" w:rsidRPr="00284686">
        <w:rPr>
          <w:rFonts w:ascii="Times New Roman" w:hAnsi="Times New Roman" w:cs="Times New Roman"/>
          <w:sz w:val="24"/>
          <w:szCs w:val="24"/>
        </w:rPr>
        <w:t>.</w:t>
      </w:r>
    </w:p>
    <w:p w:rsidR="00284686" w:rsidRPr="00284686" w:rsidRDefault="00284686" w:rsidP="0063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39" w:rsidRPr="00284686" w:rsidRDefault="001A69E5" w:rsidP="0065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§3.1.</w:t>
      </w:r>
      <w:r w:rsidRPr="00284686">
        <w:rPr>
          <w:rFonts w:ascii="Times New Roman" w:hAnsi="Times New Roman" w:cs="Times New Roman"/>
          <w:sz w:val="24"/>
          <w:szCs w:val="24"/>
        </w:rPr>
        <w:t xml:space="preserve"> Opłata za miejsca pod grób ziemny przeznaczony na pochowanie zwłok oraz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 xml:space="preserve">za przedłużenie okresu jego użytkowania pobierana jest na okres 20 lat.  Po tym czasie bez wezwania administratora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Pr="00284686">
        <w:rPr>
          <w:rFonts w:ascii="Times New Roman" w:hAnsi="Times New Roman" w:cs="Times New Roman"/>
          <w:sz w:val="24"/>
          <w:szCs w:val="24"/>
        </w:rPr>
        <w:t>mentarza należy ponownie  wnieść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 xml:space="preserve">stosowne opłaty. </w:t>
      </w:r>
    </w:p>
    <w:p w:rsidR="00903BAB" w:rsidRPr="00284686" w:rsidRDefault="00E75BAB" w:rsidP="0090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</w:t>
      </w:r>
      <w:r w:rsidR="0074753D">
        <w:rPr>
          <w:rFonts w:ascii="Times New Roman" w:hAnsi="Times New Roman" w:cs="Times New Roman"/>
          <w:sz w:val="24"/>
          <w:szCs w:val="24"/>
        </w:rPr>
        <w:t xml:space="preserve">  </w:t>
      </w:r>
      <w:r w:rsidRPr="00284686">
        <w:rPr>
          <w:rFonts w:ascii="Times New Roman" w:hAnsi="Times New Roman" w:cs="Times New Roman"/>
          <w:b/>
          <w:sz w:val="24"/>
          <w:szCs w:val="24"/>
        </w:rPr>
        <w:t>2.</w:t>
      </w:r>
      <w:r w:rsidRPr="00284686">
        <w:rPr>
          <w:rFonts w:ascii="Times New Roman" w:hAnsi="Times New Roman" w:cs="Times New Roman"/>
          <w:sz w:val="24"/>
          <w:szCs w:val="24"/>
        </w:rPr>
        <w:t xml:space="preserve"> Opłata za miejsce pod grób murowany</w:t>
      </w:r>
      <w:r w:rsidR="00903BAB" w:rsidRPr="00284686">
        <w:rPr>
          <w:rFonts w:ascii="Times New Roman" w:hAnsi="Times New Roman" w:cs="Times New Roman"/>
          <w:sz w:val="24"/>
          <w:szCs w:val="24"/>
        </w:rPr>
        <w:t xml:space="preserve"> dwumiejscowy</w:t>
      </w:r>
      <w:r w:rsidRPr="00284686">
        <w:rPr>
          <w:rFonts w:ascii="Times New Roman" w:hAnsi="Times New Roman" w:cs="Times New Roman"/>
          <w:sz w:val="24"/>
          <w:szCs w:val="24"/>
        </w:rPr>
        <w:t xml:space="preserve"> przeznaczony na</w:t>
      </w:r>
      <w:r w:rsidR="00903BAB" w:rsidRPr="00284686">
        <w:rPr>
          <w:rFonts w:ascii="Times New Roman" w:hAnsi="Times New Roman" w:cs="Times New Roman"/>
          <w:sz w:val="24"/>
          <w:szCs w:val="24"/>
        </w:rPr>
        <w:t xml:space="preserve"> pochowanie zwłok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B951BE" w:rsidRPr="00284686">
        <w:rPr>
          <w:rFonts w:ascii="Times New Roman" w:hAnsi="Times New Roman" w:cs="Times New Roman"/>
          <w:sz w:val="24"/>
          <w:szCs w:val="24"/>
        </w:rPr>
        <w:t>więcej niż 1 osoby</w:t>
      </w:r>
      <w:r w:rsidRPr="00284686">
        <w:rPr>
          <w:rFonts w:ascii="Times New Roman" w:hAnsi="Times New Roman" w:cs="Times New Roman"/>
          <w:sz w:val="24"/>
          <w:szCs w:val="24"/>
        </w:rPr>
        <w:t xml:space="preserve"> pobierana jest na 40 lat z dopłatą za</w:t>
      </w:r>
      <w:r w:rsidR="00B951BE"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każdą kolejno</w:t>
      </w:r>
      <w:r w:rsidR="00903BAB" w:rsidRPr="00284686">
        <w:rPr>
          <w:rFonts w:ascii="Times New Roman" w:hAnsi="Times New Roman" w:cs="Times New Roman"/>
          <w:sz w:val="24"/>
          <w:szCs w:val="24"/>
        </w:rPr>
        <w:t xml:space="preserve"> pochowaną osobę.</w:t>
      </w:r>
    </w:p>
    <w:p w:rsidR="00E75BAB" w:rsidRPr="00284686" w:rsidRDefault="00E75BAB" w:rsidP="0063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3.</w:t>
      </w:r>
      <w:r w:rsidRPr="00284686">
        <w:rPr>
          <w:rFonts w:ascii="Times New Roman" w:hAnsi="Times New Roman" w:cs="Times New Roman"/>
          <w:sz w:val="24"/>
          <w:szCs w:val="24"/>
        </w:rPr>
        <w:t xml:space="preserve"> W przypadku rezygnacji z miejsca rezerwowanego istnieje możliwość zwrotu opłaty za rezerwację proporcjonalnie do okresu pozostałego za każdy pełny nie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rozpoczęty rok kalendarzowy.</w:t>
      </w:r>
    </w:p>
    <w:p w:rsidR="009F1A53" w:rsidRPr="00284686" w:rsidRDefault="00127849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4.</w:t>
      </w:r>
      <w:r w:rsidRPr="00284686">
        <w:rPr>
          <w:rFonts w:ascii="Times New Roman" w:hAnsi="Times New Roman" w:cs="Times New Roman"/>
          <w:sz w:val="24"/>
          <w:szCs w:val="24"/>
        </w:rPr>
        <w:t xml:space="preserve"> W przypadku nie przedłużenia opłaty na następne  20 lat za miejsce pod grób</w:t>
      </w:r>
      <w:r w:rsidR="004445D9" w:rsidRPr="00284686">
        <w:rPr>
          <w:rFonts w:ascii="Times New Roman" w:hAnsi="Times New Roman" w:cs="Times New Roman"/>
          <w:sz w:val="24"/>
          <w:szCs w:val="24"/>
        </w:rPr>
        <w:t>,</w:t>
      </w:r>
      <w:r w:rsidR="00393990"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4445D9" w:rsidRPr="00284686">
        <w:rPr>
          <w:rFonts w:ascii="Times New Roman" w:hAnsi="Times New Roman" w:cs="Times New Roman"/>
          <w:sz w:val="24"/>
          <w:szCs w:val="24"/>
        </w:rPr>
        <w:t xml:space="preserve">grób ten </w:t>
      </w:r>
      <w:r w:rsidRPr="00284686">
        <w:rPr>
          <w:rFonts w:ascii="Times New Roman" w:hAnsi="Times New Roman" w:cs="Times New Roman"/>
          <w:sz w:val="24"/>
          <w:szCs w:val="24"/>
        </w:rPr>
        <w:t>kwalifikuje się  do likw</w:t>
      </w:r>
      <w:r w:rsidR="004445D9" w:rsidRPr="00284686">
        <w:rPr>
          <w:rFonts w:ascii="Times New Roman" w:hAnsi="Times New Roman" w:cs="Times New Roman"/>
          <w:sz w:val="24"/>
          <w:szCs w:val="24"/>
        </w:rPr>
        <w:t xml:space="preserve">idacji. Likwidacja grobu </w:t>
      </w:r>
      <w:r w:rsidR="00393990" w:rsidRPr="00284686">
        <w:rPr>
          <w:rFonts w:ascii="Times New Roman" w:hAnsi="Times New Roman" w:cs="Times New Roman"/>
          <w:sz w:val="24"/>
          <w:szCs w:val="24"/>
        </w:rPr>
        <w:t xml:space="preserve">będzie poprzedzona </w:t>
      </w:r>
      <w:r w:rsidR="009F1A53"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informacją wywieszoną na grobie</w:t>
      </w:r>
      <w:r w:rsidR="00B951BE"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9F1A53" w:rsidRPr="00284686">
        <w:rPr>
          <w:rFonts w:ascii="Times New Roman" w:hAnsi="Times New Roman" w:cs="Times New Roman"/>
          <w:sz w:val="24"/>
          <w:szCs w:val="24"/>
        </w:rPr>
        <w:t xml:space="preserve">co najmniej 3 miesiące przed terminem likwidacji. Postanowienie  to nie ma </w:t>
      </w:r>
      <w:r w:rsidR="009F1A53" w:rsidRPr="00284686">
        <w:rPr>
          <w:rFonts w:ascii="Times New Roman" w:hAnsi="Times New Roman" w:cs="Times New Roman"/>
          <w:sz w:val="24"/>
          <w:szCs w:val="24"/>
        </w:rPr>
        <w:lastRenderedPageBreak/>
        <w:t>zastosowania do chowania zwłok w grobach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="009F1A53" w:rsidRPr="00284686">
        <w:rPr>
          <w:rFonts w:ascii="Times New Roman" w:hAnsi="Times New Roman" w:cs="Times New Roman"/>
          <w:sz w:val="24"/>
          <w:szCs w:val="24"/>
        </w:rPr>
        <w:t>murowanych   przeznaczonych do pomieszczenia zwłok więcej niż 1 osoby.</w:t>
      </w:r>
    </w:p>
    <w:p w:rsidR="009F1A53" w:rsidRPr="00284686" w:rsidRDefault="009F1A53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5.</w:t>
      </w:r>
      <w:r w:rsidRPr="00284686">
        <w:rPr>
          <w:rFonts w:ascii="Times New Roman" w:hAnsi="Times New Roman" w:cs="Times New Roman"/>
          <w:sz w:val="24"/>
          <w:szCs w:val="24"/>
        </w:rPr>
        <w:t xml:space="preserve"> Gdyby przed upływem 20 lat od uiszczenia opłaty dokonana zostanie ekshumacja zwłok lub  szczątków ludzkich, miejsce pod grób ziemny pozostaje do dyspozycji administratora </w:t>
      </w:r>
      <w:r w:rsidR="00393990" w:rsidRPr="00284686">
        <w:rPr>
          <w:rFonts w:ascii="Times New Roman" w:hAnsi="Times New Roman" w:cs="Times New Roman"/>
          <w:sz w:val="24"/>
          <w:szCs w:val="24"/>
        </w:rPr>
        <w:t>c</w:t>
      </w:r>
      <w:r w:rsidRPr="00284686">
        <w:rPr>
          <w:rFonts w:ascii="Times New Roman" w:hAnsi="Times New Roman" w:cs="Times New Roman"/>
          <w:sz w:val="24"/>
          <w:szCs w:val="24"/>
        </w:rPr>
        <w:t>mentarza. Dotychczasowemu dysponentowi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miejsca zwrócona zostanie</w:t>
      </w:r>
      <w:r w:rsidR="00B35C74" w:rsidRPr="00284686">
        <w:rPr>
          <w:rFonts w:ascii="Times New Roman" w:hAnsi="Times New Roman" w:cs="Times New Roman"/>
          <w:sz w:val="24"/>
          <w:szCs w:val="24"/>
        </w:rPr>
        <w:t>(</w:t>
      </w:r>
      <w:r w:rsidR="00A16064" w:rsidRPr="00284686">
        <w:rPr>
          <w:rFonts w:ascii="Times New Roman" w:hAnsi="Times New Roman" w:cs="Times New Roman"/>
          <w:sz w:val="24"/>
          <w:szCs w:val="24"/>
        </w:rPr>
        <w:t xml:space="preserve"> po złożeniu wniosku</w:t>
      </w:r>
      <w:r w:rsidR="00B35C74" w:rsidRPr="00284686">
        <w:rPr>
          <w:rFonts w:ascii="Times New Roman" w:hAnsi="Times New Roman" w:cs="Times New Roman"/>
          <w:sz w:val="24"/>
          <w:szCs w:val="24"/>
        </w:rPr>
        <w:t>)</w:t>
      </w:r>
      <w:r w:rsidRPr="00284686">
        <w:rPr>
          <w:rFonts w:ascii="Times New Roman" w:hAnsi="Times New Roman" w:cs="Times New Roman"/>
          <w:sz w:val="24"/>
          <w:szCs w:val="24"/>
        </w:rPr>
        <w:t xml:space="preserve"> część wniesionej </w:t>
      </w:r>
      <w:r w:rsidR="00A16064" w:rsidRPr="00284686">
        <w:rPr>
          <w:rFonts w:ascii="Times New Roman" w:hAnsi="Times New Roman" w:cs="Times New Roman"/>
          <w:sz w:val="24"/>
          <w:szCs w:val="24"/>
        </w:rPr>
        <w:t>przez niego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="00A16064" w:rsidRPr="00284686">
        <w:rPr>
          <w:rFonts w:ascii="Times New Roman" w:hAnsi="Times New Roman" w:cs="Times New Roman"/>
          <w:sz w:val="24"/>
          <w:szCs w:val="24"/>
        </w:rPr>
        <w:t>opłaty za miejsce pod grób.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A16064" w:rsidRPr="00284686">
        <w:rPr>
          <w:rFonts w:ascii="Times New Roman" w:hAnsi="Times New Roman" w:cs="Times New Roman"/>
          <w:sz w:val="24"/>
          <w:szCs w:val="24"/>
        </w:rPr>
        <w:t>Wysokość zwróconej kwoty będzie proporcjonalna  do okresu niewykorzystanego czasu za miejsce pod grób.</w:t>
      </w:r>
    </w:p>
    <w:p w:rsidR="00A04F06" w:rsidRPr="00284686" w:rsidRDefault="00A04F06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6.</w:t>
      </w:r>
      <w:r w:rsidRPr="00284686">
        <w:rPr>
          <w:rFonts w:ascii="Times New Roman" w:hAnsi="Times New Roman" w:cs="Times New Roman"/>
          <w:sz w:val="24"/>
          <w:szCs w:val="24"/>
        </w:rPr>
        <w:t xml:space="preserve"> W przypadku następnego pochowania w istniejącym grobie ziemnym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 xml:space="preserve">( rodzinnym ) pobiera się uzupełniającą opłatę za miejsce pod grób ziemny ( lub miejsce rezerwowe ) do pełnych 20 lat.  </w:t>
      </w:r>
    </w:p>
    <w:p w:rsidR="00A04F06" w:rsidRPr="00284686" w:rsidRDefault="00A04F06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7.</w:t>
      </w:r>
      <w:r w:rsidRPr="00284686">
        <w:rPr>
          <w:rFonts w:ascii="Times New Roman" w:hAnsi="Times New Roman" w:cs="Times New Roman"/>
          <w:sz w:val="24"/>
          <w:szCs w:val="24"/>
        </w:rPr>
        <w:t xml:space="preserve"> Groby murowane winny być w miarę możliwości niezwłocznie wybudowane.</w:t>
      </w:r>
    </w:p>
    <w:p w:rsidR="008B2729" w:rsidRDefault="00A04F06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8.</w:t>
      </w:r>
      <w:r w:rsidRPr="00284686">
        <w:rPr>
          <w:rFonts w:ascii="Times New Roman" w:hAnsi="Times New Roman" w:cs="Times New Roman"/>
          <w:sz w:val="24"/>
          <w:szCs w:val="24"/>
        </w:rPr>
        <w:t xml:space="preserve"> Dopuszcza się możliwość uiszczenia opłaty na 10 lat za rezerwacje miejsc grzebalnych oraz za utrzymanie grobu na następne lata.</w:t>
      </w:r>
    </w:p>
    <w:p w:rsidR="00284686" w:rsidRPr="00284686" w:rsidRDefault="00284686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29" w:rsidRPr="00284686" w:rsidRDefault="008B2729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§4.</w:t>
      </w:r>
      <w:r w:rsidRPr="00284686">
        <w:rPr>
          <w:rFonts w:ascii="Times New Roman" w:hAnsi="Times New Roman" w:cs="Times New Roman"/>
          <w:sz w:val="24"/>
          <w:szCs w:val="24"/>
        </w:rPr>
        <w:t xml:space="preserve"> Kwoty opłat podanych w załączniku do niniejszej uchwały są kwotami netto, do     których dolicza się podatek VAT, zgodnie z obowiązującymi stawkami.</w:t>
      </w:r>
    </w:p>
    <w:p w:rsidR="008B2729" w:rsidRPr="00284686" w:rsidRDefault="008B2729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29" w:rsidRDefault="008B2729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§5.</w:t>
      </w:r>
      <w:r w:rsidRPr="00284686">
        <w:rPr>
          <w:rFonts w:ascii="Times New Roman" w:hAnsi="Times New Roman" w:cs="Times New Roman"/>
          <w:sz w:val="24"/>
          <w:szCs w:val="24"/>
        </w:rPr>
        <w:t xml:space="preserve"> Wykonanie uchwały powierza się Wójtowi Gminy Białogard.</w:t>
      </w:r>
    </w:p>
    <w:p w:rsidR="00284686" w:rsidRPr="00284686" w:rsidRDefault="00284686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86" w:rsidRPr="00284686" w:rsidRDefault="008B2729" w:rsidP="00747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>§6.</w:t>
      </w:r>
      <w:r w:rsidRPr="00284686">
        <w:rPr>
          <w:rFonts w:ascii="Times New Roman" w:hAnsi="Times New Roman" w:cs="Times New Roman"/>
          <w:sz w:val="24"/>
          <w:szCs w:val="24"/>
        </w:rPr>
        <w:t xml:space="preserve"> Traci moc uchwała Nr VI/36/2011 Rady Gminy Białogard z dnia  5 maja 2011r.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sz w:val="24"/>
          <w:szCs w:val="24"/>
        </w:rPr>
        <w:t>w sprawie opłat za miejsca grzebalne na cmentarzach w Białogórzyn</w:t>
      </w:r>
      <w:r w:rsidR="004445D9" w:rsidRPr="00284686">
        <w:rPr>
          <w:rFonts w:ascii="Times New Roman" w:hAnsi="Times New Roman" w:cs="Times New Roman"/>
          <w:sz w:val="24"/>
          <w:szCs w:val="24"/>
        </w:rPr>
        <w:t>ie</w:t>
      </w:r>
      <w:r w:rsidRPr="00284686">
        <w:rPr>
          <w:rFonts w:ascii="Times New Roman" w:hAnsi="Times New Roman" w:cs="Times New Roman"/>
          <w:sz w:val="24"/>
          <w:szCs w:val="24"/>
        </w:rPr>
        <w:t>,</w:t>
      </w:r>
      <w:r w:rsidR="004445D9" w:rsidRPr="00284686">
        <w:rPr>
          <w:rFonts w:ascii="Times New Roman" w:hAnsi="Times New Roman" w:cs="Times New Roman"/>
          <w:sz w:val="24"/>
          <w:szCs w:val="24"/>
        </w:rPr>
        <w:t xml:space="preserve"> Byszynie</w:t>
      </w:r>
      <w:r w:rsidR="0074753D">
        <w:rPr>
          <w:rFonts w:ascii="Times New Roman" w:hAnsi="Times New Roman" w:cs="Times New Roman"/>
          <w:sz w:val="24"/>
          <w:szCs w:val="24"/>
        </w:rPr>
        <w:t xml:space="preserve"> </w:t>
      </w:r>
      <w:r w:rsidR="004445D9" w:rsidRPr="00284686">
        <w:rPr>
          <w:rFonts w:ascii="Times New Roman" w:hAnsi="Times New Roman" w:cs="Times New Roman"/>
          <w:sz w:val="24"/>
          <w:szCs w:val="24"/>
        </w:rPr>
        <w:t>i Podwilczu</w:t>
      </w:r>
      <w:r w:rsidR="0074753D">
        <w:rPr>
          <w:rFonts w:ascii="Times New Roman" w:hAnsi="Times New Roman" w:cs="Times New Roman"/>
          <w:sz w:val="24"/>
          <w:szCs w:val="24"/>
        </w:rPr>
        <w:t>.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4445D9" w:rsidRPr="002846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482B" w:rsidRPr="00284686" w:rsidRDefault="00A64FAA" w:rsidP="00A2482B">
      <w:pPr>
        <w:pStyle w:val="NormalnyWeb"/>
        <w:spacing w:after="0"/>
      </w:pPr>
      <w:r w:rsidRPr="00284686">
        <w:rPr>
          <w:b/>
        </w:rPr>
        <w:t>§7.</w:t>
      </w:r>
      <w:r w:rsidRPr="00284686">
        <w:t xml:space="preserve"> </w:t>
      </w:r>
      <w:r w:rsidR="00A2482B" w:rsidRPr="00284686">
        <w:t xml:space="preserve">Uchwała wchodzi w życie po upływie 14 dni od dnia ogłoszenia w Dz. Urz. Woj.  Zachodniopomorskiego. </w:t>
      </w:r>
    </w:p>
    <w:p w:rsidR="00A2482B" w:rsidRPr="00284686" w:rsidRDefault="00A2482B" w:rsidP="00A2482B">
      <w:pPr>
        <w:pStyle w:val="NormalnyWeb"/>
        <w:spacing w:after="0"/>
      </w:pPr>
    </w:p>
    <w:p w:rsidR="008B2729" w:rsidRPr="00284686" w:rsidRDefault="008B2729" w:rsidP="004445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4" w:rsidRDefault="00B35C7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3D" w:rsidRDefault="0074753D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3D" w:rsidRDefault="0074753D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3D" w:rsidRDefault="0074753D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3D" w:rsidRPr="00284686" w:rsidRDefault="0074753D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86" w:rsidRPr="00284686" w:rsidRDefault="008A29F4" w:rsidP="00747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475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4686">
        <w:rPr>
          <w:rFonts w:ascii="Times New Roman" w:hAnsi="Times New Roman" w:cs="Times New Roman"/>
          <w:sz w:val="24"/>
          <w:szCs w:val="24"/>
        </w:rPr>
        <w:t xml:space="preserve"> </w:t>
      </w:r>
      <w:r w:rsidR="002846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4686">
        <w:rPr>
          <w:rFonts w:ascii="Times New Roman" w:hAnsi="Times New Roman" w:cs="Times New Roman"/>
          <w:sz w:val="24"/>
          <w:szCs w:val="24"/>
        </w:rPr>
        <w:t xml:space="preserve">      </w:t>
      </w:r>
      <w:r w:rsidR="00284686">
        <w:rPr>
          <w:rFonts w:ascii="Times New Roman" w:hAnsi="Times New Roman" w:cs="Times New Roman"/>
          <w:sz w:val="24"/>
          <w:szCs w:val="24"/>
        </w:rPr>
        <w:t xml:space="preserve">    </w:t>
      </w:r>
      <w:r w:rsidR="007475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4686">
        <w:rPr>
          <w:rFonts w:ascii="Times New Roman" w:hAnsi="Times New Roman" w:cs="Times New Roman"/>
          <w:sz w:val="24"/>
          <w:szCs w:val="24"/>
        </w:rPr>
        <w:t xml:space="preserve"> </w:t>
      </w:r>
      <w:r w:rsidRPr="00284686">
        <w:rPr>
          <w:rFonts w:ascii="Times New Roman" w:hAnsi="Times New Roman" w:cs="Times New Roman"/>
          <w:b/>
          <w:sz w:val="24"/>
          <w:szCs w:val="24"/>
        </w:rPr>
        <w:t>Załącznik do Uchwały Nr</w:t>
      </w:r>
      <w:r w:rsidR="00284686" w:rsidRPr="00284686">
        <w:rPr>
          <w:rFonts w:ascii="Times New Roman" w:hAnsi="Times New Roman" w:cs="Times New Roman"/>
          <w:b/>
          <w:sz w:val="24"/>
          <w:szCs w:val="24"/>
        </w:rPr>
        <w:t xml:space="preserve"> IX/5</w:t>
      </w:r>
      <w:r w:rsidR="0074753D">
        <w:rPr>
          <w:rFonts w:ascii="Times New Roman" w:hAnsi="Times New Roman" w:cs="Times New Roman"/>
          <w:b/>
          <w:sz w:val="24"/>
          <w:szCs w:val="24"/>
        </w:rPr>
        <w:t>0</w:t>
      </w:r>
      <w:r w:rsidR="00284686" w:rsidRPr="00284686">
        <w:rPr>
          <w:rFonts w:ascii="Times New Roman" w:hAnsi="Times New Roman" w:cs="Times New Roman"/>
          <w:b/>
          <w:sz w:val="24"/>
          <w:szCs w:val="24"/>
        </w:rPr>
        <w:t>/2015</w:t>
      </w:r>
    </w:p>
    <w:p w:rsidR="000E5EFF" w:rsidRPr="00284686" w:rsidRDefault="00284686" w:rsidP="0028468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29F4" w:rsidRPr="00284686">
        <w:rPr>
          <w:rFonts w:ascii="Times New Roman" w:hAnsi="Times New Roman" w:cs="Times New Roman"/>
          <w:b/>
          <w:sz w:val="24"/>
          <w:szCs w:val="24"/>
        </w:rPr>
        <w:t xml:space="preserve">Rady Gminy Białogard z dnia </w:t>
      </w:r>
      <w:r>
        <w:rPr>
          <w:rFonts w:ascii="Times New Roman" w:hAnsi="Times New Roman" w:cs="Times New Roman"/>
          <w:b/>
          <w:sz w:val="24"/>
          <w:szCs w:val="24"/>
        </w:rPr>
        <w:t>29 maja 2015 r.</w:t>
      </w:r>
    </w:p>
    <w:p w:rsidR="000E5EFF" w:rsidRPr="00284686" w:rsidRDefault="000E5EFF" w:rsidP="009F1A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707" w:rsidRPr="00284686" w:rsidRDefault="00020707" w:rsidP="009F1A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520"/>
        <w:gridCol w:w="2158"/>
      </w:tblGrid>
      <w:tr w:rsidR="00C02895" w:rsidRPr="00284686" w:rsidTr="0051345B">
        <w:tc>
          <w:tcPr>
            <w:tcW w:w="9212" w:type="dxa"/>
            <w:gridSpan w:val="3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C02895" w:rsidRPr="00284686" w:rsidRDefault="00C02895" w:rsidP="00C02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GROBY ZWYKŁE ZIEMNE NA OKRES 20 LAT</w:t>
            </w:r>
          </w:p>
        </w:tc>
      </w:tr>
      <w:tr w:rsidR="000E5EFF" w:rsidRPr="00284686" w:rsidTr="0051345B">
        <w:tc>
          <w:tcPr>
            <w:tcW w:w="534" w:type="dxa"/>
            <w:tcBorders>
              <w:left w:val="thinThickMediumGap" w:sz="24" w:space="0" w:color="auto"/>
            </w:tcBorders>
          </w:tcPr>
          <w:p w:rsidR="000E5EFF" w:rsidRPr="00284686" w:rsidRDefault="000E5EFF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0E5EFF" w:rsidRPr="00284686" w:rsidRDefault="000E5EFF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RODZAJ  OPŁATY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0E5EFF" w:rsidRPr="00284686" w:rsidRDefault="000E5EFF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CENA NETTO (zł)</w:t>
            </w:r>
          </w:p>
        </w:tc>
      </w:tr>
      <w:tr w:rsidR="000E5EFF" w:rsidRPr="00284686" w:rsidTr="0051345B">
        <w:tc>
          <w:tcPr>
            <w:tcW w:w="534" w:type="dxa"/>
            <w:tcBorders>
              <w:left w:val="thinThickMediumGap" w:sz="24" w:space="0" w:color="auto"/>
            </w:tcBorders>
          </w:tcPr>
          <w:p w:rsidR="000E5EFF" w:rsidRPr="00284686" w:rsidRDefault="000E5EFF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0E5EFF" w:rsidRPr="00284686" w:rsidRDefault="000E5EFF" w:rsidP="00A24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ziemny pojedy</w:t>
            </w:r>
            <w:r w:rsidR="00A24650" w:rsidRPr="002846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="00B951BE" w:rsidRPr="00284686">
              <w:rPr>
                <w:rFonts w:ascii="Times New Roman" w:hAnsi="Times New Roman" w:cs="Times New Roman"/>
                <w:sz w:val="20"/>
                <w:szCs w:val="20"/>
              </w:rPr>
              <w:t xml:space="preserve"> bez prawa murowania</w:t>
            </w:r>
          </w:p>
        </w:tc>
        <w:tc>
          <w:tcPr>
            <w:tcW w:w="2158" w:type="dxa"/>
            <w:tcBorders>
              <w:bottom w:val="outset" w:sz="6" w:space="0" w:color="auto"/>
              <w:right w:val="thinThickMediumGap" w:sz="24" w:space="0" w:color="auto"/>
            </w:tcBorders>
          </w:tcPr>
          <w:p w:rsidR="000E5EFF" w:rsidRPr="00284686" w:rsidRDefault="00B275DA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420,00</w:t>
            </w:r>
          </w:p>
        </w:tc>
      </w:tr>
      <w:tr w:rsidR="000E5EFF" w:rsidRPr="00284686" w:rsidTr="0051345B">
        <w:tc>
          <w:tcPr>
            <w:tcW w:w="534" w:type="dxa"/>
            <w:tcBorders>
              <w:left w:val="thinThickMediumGap" w:sz="24" w:space="0" w:color="auto"/>
            </w:tcBorders>
          </w:tcPr>
          <w:p w:rsidR="000E5EFF" w:rsidRPr="00284686" w:rsidRDefault="002227C4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0E5EFF" w:rsidRPr="00284686" w:rsidRDefault="002227C4" w:rsidP="00B95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 xml:space="preserve">Plac pod grób ziemny </w:t>
            </w:r>
            <w:r w:rsidR="00B951BE" w:rsidRPr="00284686">
              <w:rPr>
                <w:rFonts w:ascii="Times New Roman" w:hAnsi="Times New Roman" w:cs="Times New Roman"/>
                <w:sz w:val="20"/>
                <w:szCs w:val="20"/>
              </w:rPr>
              <w:t xml:space="preserve"> podwójny w pionie (</w:t>
            </w: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głębinowy)</w:t>
            </w:r>
            <w:r w:rsidR="00B951BE" w:rsidRPr="00284686">
              <w:rPr>
                <w:rFonts w:ascii="Times New Roman" w:hAnsi="Times New Roman" w:cs="Times New Roman"/>
                <w:sz w:val="20"/>
                <w:szCs w:val="20"/>
              </w:rPr>
              <w:t xml:space="preserve"> bez prawa murowania</w:t>
            </w:r>
          </w:p>
        </w:tc>
        <w:tc>
          <w:tcPr>
            <w:tcW w:w="2158" w:type="dxa"/>
            <w:tcBorders>
              <w:top w:val="outset" w:sz="6" w:space="0" w:color="auto"/>
              <w:right w:val="thinThickMediumGap" w:sz="24" w:space="0" w:color="auto"/>
            </w:tcBorders>
          </w:tcPr>
          <w:p w:rsidR="000E5EFF" w:rsidRPr="00284686" w:rsidRDefault="00B275DA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630,00</w:t>
            </w:r>
          </w:p>
        </w:tc>
      </w:tr>
      <w:tr w:rsidR="00B951BE" w:rsidRPr="00284686" w:rsidTr="005134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951BE" w:rsidRPr="00284686" w:rsidRDefault="00B951BE" w:rsidP="00B95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Za kolejne zwłoki pochowane w grobie głębinowym w pionie</w:t>
            </w:r>
          </w:p>
        </w:tc>
        <w:tc>
          <w:tcPr>
            <w:tcW w:w="2158" w:type="dxa"/>
            <w:tcBorders>
              <w:top w:val="outset" w:sz="6" w:space="0" w:color="auto"/>
              <w:right w:val="thinThickMediumGap" w:sz="24" w:space="0" w:color="auto"/>
            </w:tcBorders>
          </w:tcPr>
          <w:p w:rsidR="00B951BE" w:rsidRPr="00284686" w:rsidRDefault="00B951BE" w:rsidP="00B95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420,00</w:t>
            </w: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  <w:bottom w:val="single" w:sz="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ziemny rodzinny (dwumiejscowy w poziomie ) bez prawa murowania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840,00</w:t>
            </w: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CA7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pojedynczy ziemny dla dzieci do lat 6 bez prawa murowania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B95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pojedynczy murowany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B95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640,00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16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16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5F784A" w:rsidP="007961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OPŁAT</w:t>
            </w:r>
            <w:r w:rsidR="00796148"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PRZEDŁU</w:t>
            </w:r>
            <w:r w:rsidR="00796148"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Ż</w:t>
            </w: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ENIE  MIEJSCA POCHÓWKU NA NASTĘPNE 20 LAT POBIERA SIĘ W WYSOKOSCI 100% STAWEK OKRESLONYCH</w:t>
            </w:r>
            <w:r w:rsidR="00B5328A"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B5328A"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="00B5328A"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1-5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Rezerwacja placu pod grób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420,00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9212" w:type="dxa"/>
            <w:gridSpan w:val="3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thinThickMediumGap" w:sz="24" w:space="0" w:color="auto"/>
            </w:tcBorders>
          </w:tcPr>
          <w:p w:rsidR="00B951BE" w:rsidRPr="00284686" w:rsidRDefault="00B951BE" w:rsidP="00392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GROBY MUROWANE  NA  OKRES  40 LAT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RODZAJ OPŁATY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CENA NETTO (zł)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dwumiejscowy murowany (w pionie)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945,00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444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Plac pod grób rodzinny murowany na działce podwójnej (w poziomie )</w:t>
            </w: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1260,00</w:t>
            </w: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B27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bottom w:val="outset" w:sz="6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51BE" w:rsidRPr="00284686" w:rsidRDefault="00B951BE" w:rsidP="000A6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top w:val="outset" w:sz="6" w:space="0" w:color="auto"/>
              <w:left w:val="thinThickMediumGap" w:sz="24" w:space="0" w:color="auto"/>
              <w:right w:val="outset" w:sz="6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</w:tcBorders>
          </w:tcPr>
          <w:p w:rsidR="00B951BE" w:rsidRPr="00284686" w:rsidRDefault="00B951BE" w:rsidP="000A6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outset" w:sz="6" w:space="0" w:color="auto"/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951BE" w:rsidRPr="00284686" w:rsidRDefault="00B951BE" w:rsidP="005C3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POZOSTAŁE OPŁATY</w:t>
            </w:r>
          </w:p>
        </w:tc>
        <w:tc>
          <w:tcPr>
            <w:tcW w:w="2158" w:type="dxa"/>
            <w:tcBorders>
              <w:top w:val="outset" w:sz="6" w:space="0" w:color="auto"/>
              <w:bottom w:val="outset" w:sz="6" w:space="0" w:color="auto"/>
              <w:right w:val="thinThickMediumGap" w:sz="24" w:space="0" w:color="auto"/>
            </w:tcBorders>
          </w:tcPr>
          <w:p w:rsidR="00B951BE" w:rsidRPr="00284686" w:rsidRDefault="005F784A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CENA NETTO(zł)</w:t>
            </w: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0" w:type="dxa"/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RODZAJ OPŁATY</w:t>
            </w:r>
          </w:p>
        </w:tc>
        <w:tc>
          <w:tcPr>
            <w:tcW w:w="2158" w:type="dxa"/>
            <w:tcBorders>
              <w:top w:val="outset" w:sz="6" w:space="0" w:color="auto"/>
              <w:bottom w:val="outset" w:sz="6" w:space="0" w:color="auto"/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4F33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B951BE" w:rsidRPr="00284686" w:rsidRDefault="005F784A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sz w:val="20"/>
                <w:szCs w:val="20"/>
              </w:rPr>
              <w:t>Jednorazowy w</w:t>
            </w:r>
            <w:r w:rsidR="00B951BE" w:rsidRPr="00284686">
              <w:rPr>
                <w:rFonts w:ascii="Times New Roman" w:hAnsi="Times New Roman" w:cs="Times New Roman"/>
                <w:sz w:val="20"/>
                <w:szCs w:val="20"/>
              </w:rPr>
              <w:t>jazd na cmentarz</w:t>
            </w:r>
          </w:p>
        </w:tc>
        <w:tc>
          <w:tcPr>
            <w:tcW w:w="2158" w:type="dxa"/>
            <w:tcBorders>
              <w:top w:val="outset" w:sz="6" w:space="0" w:color="auto"/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86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B951BE" w:rsidRPr="00284686" w:rsidTr="0051345B">
        <w:tc>
          <w:tcPr>
            <w:tcW w:w="534" w:type="dxa"/>
            <w:tcBorders>
              <w:lef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1BE" w:rsidRPr="00284686" w:rsidTr="0051345B">
        <w:tc>
          <w:tcPr>
            <w:tcW w:w="534" w:type="dxa"/>
            <w:tcBorders>
              <w:left w:val="thinThickMediumGap" w:sz="24" w:space="0" w:color="auto"/>
              <w:bottom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thinThickMediumGap" w:sz="24" w:space="0" w:color="auto"/>
              <w:right w:val="thinThickMediumGap" w:sz="24" w:space="0" w:color="auto"/>
            </w:tcBorders>
          </w:tcPr>
          <w:p w:rsidR="00B951BE" w:rsidRPr="00284686" w:rsidRDefault="00B951BE" w:rsidP="009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A29F4" w:rsidRPr="00284686" w:rsidRDefault="008A29F4" w:rsidP="009F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A53" w:rsidRPr="00284686" w:rsidRDefault="009F1A53" w:rsidP="0063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AB" w:rsidRPr="00284686" w:rsidRDefault="00127849" w:rsidP="0063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8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5BAB" w:rsidRPr="00284686" w:rsidSect="0095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C03"/>
    <w:rsid w:val="00020707"/>
    <w:rsid w:val="000236F9"/>
    <w:rsid w:val="00034761"/>
    <w:rsid w:val="00041419"/>
    <w:rsid w:val="000A3E95"/>
    <w:rsid w:val="000A6F6D"/>
    <w:rsid w:val="000B5F45"/>
    <w:rsid w:val="000C4431"/>
    <w:rsid w:val="000C461B"/>
    <w:rsid w:val="000E5EFF"/>
    <w:rsid w:val="00127849"/>
    <w:rsid w:val="0016575C"/>
    <w:rsid w:val="001A69E5"/>
    <w:rsid w:val="001B4267"/>
    <w:rsid w:val="001F1DA4"/>
    <w:rsid w:val="002227C4"/>
    <w:rsid w:val="00284686"/>
    <w:rsid w:val="00392A8B"/>
    <w:rsid w:val="00393990"/>
    <w:rsid w:val="003A7D25"/>
    <w:rsid w:val="004445D9"/>
    <w:rsid w:val="004643C9"/>
    <w:rsid w:val="00496358"/>
    <w:rsid w:val="004F335B"/>
    <w:rsid w:val="0051345B"/>
    <w:rsid w:val="005C3C0B"/>
    <w:rsid w:val="005F784A"/>
    <w:rsid w:val="00634639"/>
    <w:rsid w:val="00651D04"/>
    <w:rsid w:val="00663E59"/>
    <w:rsid w:val="006667EB"/>
    <w:rsid w:val="006B4735"/>
    <w:rsid w:val="00707F67"/>
    <w:rsid w:val="0074753D"/>
    <w:rsid w:val="00774B30"/>
    <w:rsid w:val="00796148"/>
    <w:rsid w:val="007C5087"/>
    <w:rsid w:val="00885673"/>
    <w:rsid w:val="008A29F4"/>
    <w:rsid w:val="008B2729"/>
    <w:rsid w:val="008D1E87"/>
    <w:rsid w:val="008F0466"/>
    <w:rsid w:val="008F595A"/>
    <w:rsid w:val="00903BAB"/>
    <w:rsid w:val="009501DB"/>
    <w:rsid w:val="00956982"/>
    <w:rsid w:val="009A79FF"/>
    <w:rsid w:val="009C185A"/>
    <w:rsid w:val="009F1A53"/>
    <w:rsid w:val="00A04F06"/>
    <w:rsid w:val="00A16064"/>
    <w:rsid w:val="00A24650"/>
    <w:rsid w:val="00A2482B"/>
    <w:rsid w:val="00A40A87"/>
    <w:rsid w:val="00A53E82"/>
    <w:rsid w:val="00A64FAA"/>
    <w:rsid w:val="00AD4618"/>
    <w:rsid w:val="00AD51E5"/>
    <w:rsid w:val="00AE4B70"/>
    <w:rsid w:val="00B21A25"/>
    <w:rsid w:val="00B275DA"/>
    <w:rsid w:val="00B35C74"/>
    <w:rsid w:val="00B47A1C"/>
    <w:rsid w:val="00B5328A"/>
    <w:rsid w:val="00B64DEC"/>
    <w:rsid w:val="00B951BE"/>
    <w:rsid w:val="00BE7EF5"/>
    <w:rsid w:val="00C02895"/>
    <w:rsid w:val="00CA0DEE"/>
    <w:rsid w:val="00CA7D8F"/>
    <w:rsid w:val="00D03C03"/>
    <w:rsid w:val="00E75BAB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248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User</cp:lastModifiedBy>
  <cp:revision>30</cp:revision>
  <cp:lastPrinted>2015-05-13T11:27:00Z</cp:lastPrinted>
  <dcterms:created xsi:type="dcterms:W3CDTF">2015-03-15T14:00:00Z</dcterms:created>
  <dcterms:modified xsi:type="dcterms:W3CDTF">2015-06-03T08:09:00Z</dcterms:modified>
</cp:coreProperties>
</file>